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UserStyle_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порядке выполнения технологических, технических и других мероприятиях, связанных с подключением к </w:t>
      </w:r>
      <w:r>
        <w:rPr>
          <w:rFonts w:ascii="Times New Roman" w:hAnsi="Times New Roman" w:cs="Times New Roman"/>
          <w:b/>
          <w:sz w:val="24"/>
          <w:szCs w:val="24"/>
        </w:rPr>
        <w:t xml:space="preserve">централизованной системе </w:t>
      </w:r>
      <w:r>
        <w:rPr>
          <w:rFonts w:ascii="Times New Roman" w:hAnsi="Times New Roman" w:cs="Times New Roman"/>
          <w:b/>
          <w:sz w:val="24"/>
          <w:szCs w:val="24"/>
        </w:rPr>
        <w:t xml:space="preserve">холодного водоснабжения.</w:t>
      </w:r>
    </w:p>
    <w:p>
      <w:pPr>
        <w:pStyle w:val="UserStyle_0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UserStyle_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а) ф</w:t>
      </w:r>
      <w:r>
        <w:rPr>
          <w:rFonts w:ascii="Times New Roman" w:hAnsi="Times New Roman" w:cs="Times New Roman"/>
          <w:b/>
          <w:sz w:val="24"/>
          <w:szCs w:val="24"/>
        </w:rPr>
        <w:t xml:space="preserve">орма заявки </w:t>
      </w:r>
      <w:r>
        <w:rPr>
          <w:rFonts w:ascii="Times New Roman" w:hAnsi="Times New Roman" w:cs="Times New Roman"/>
          <w:b/>
          <w:sz w:val="24"/>
          <w:szCs w:val="24"/>
        </w:rPr>
        <w:t xml:space="preserve">о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подключени</w:t>
      </w:r>
      <w:r>
        <w:rPr>
          <w:rFonts w:ascii="Times New Roman" w:hAnsi="Times New Roman" w:cs="Times New Roman"/>
          <w:b/>
          <w:sz w:val="24"/>
          <w:szCs w:val="24"/>
        </w:rPr>
        <w:t xml:space="preserve">и</w:t>
      </w:r>
      <w:r>
        <w:rPr>
          <w:rFonts w:ascii="Times New Roman" w:hAnsi="Times New Roman" w:cs="Times New Roman"/>
          <w:b/>
          <w:sz w:val="24"/>
          <w:szCs w:val="24"/>
        </w:rPr>
        <w:t xml:space="preserve"> к </w:t>
      </w:r>
      <w:r>
        <w:rPr>
          <w:rFonts w:ascii="Times New Roman" w:hAnsi="Times New Roman" w:cs="Times New Roman"/>
          <w:b/>
          <w:sz w:val="24"/>
          <w:szCs w:val="24"/>
        </w:rPr>
        <w:t xml:space="preserve">централизованной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</w:t>
      </w:r>
      <w:r>
        <w:rPr>
          <w:rFonts w:ascii="Times New Roman" w:hAnsi="Times New Roman" w:cs="Times New Roman"/>
          <w:b/>
          <w:sz w:val="24"/>
          <w:szCs w:val="24"/>
        </w:rPr>
        <w:t xml:space="preserve">истеме холодного водоснабжения.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UserStyle_0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Заявление</w:t>
      </w:r>
      <w:r>
        <w:rPr>
          <w:rFonts w:ascii="Times New Roman" w:hAnsi="Times New Roman" w:cs="Times New Roman"/>
          <w:sz w:val="24"/>
          <w:szCs w:val="24"/>
        </w:rPr>
        <w:t xml:space="preserve"> на подключение к сис</w:t>
      </w:r>
      <w:r>
        <w:rPr>
          <w:rFonts w:ascii="Times New Roman" w:hAnsi="Times New Roman" w:cs="Times New Roman"/>
          <w:sz w:val="24"/>
          <w:szCs w:val="24"/>
        </w:rPr>
        <w:t xml:space="preserve">тем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 холодного водоснабжения </w:t>
      </w:r>
      <w:r>
        <w:rPr>
          <w:rFonts w:ascii="Times New Roman" w:hAnsi="Times New Roman" w:cs="Times New Roman"/>
          <w:sz w:val="24"/>
          <w:szCs w:val="24"/>
        </w:rPr>
        <w:t xml:space="preserve">оформляется в </w:t>
      </w:r>
      <w:r>
        <w:rPr>
          <w:rFonts w:ascii="Times New Roman" w:hAnsi="Times New Roman" w:cs="Times New Roman"/>
          <w:sz w:val="24"/>
          <w:szCs w:val="24"/>
        </w:rPr>
        <w:t xml:space="preserve"> произвольной</w:t>
      </w:r>
      <w:r>
        <w:rPr>
          <w:rFonts w:ascii="Times New Roman" w:hAnsi="Times New Roman" w:cs="Times New Roman"/>
          <w:sz w:val="24"/>
          <w:szCs w:val="24"/>
        </w:rPr>
        <w:t xml:space="preserve"> письменной форме на имя руководи</w:t>
      </w:r>
      <w:r>
        <w:rPr>
          <w:rFonts w:ascii="Times New Roman" w:hAnsi="Times New Roman" w:cs="Times New Roman"/>
          <w:sz w:val="24"/>
          <w:szCs w:val="24"/>
        </w:rPr>
        <w:t xml:space="preserve">теля структурного подразделения.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UserStyle_0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Заявка должна содержать: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UserStyle_0"/>
        <w:widowControl/>
        <w:numPr>
          <w:numId w:val="12"/>
          <w:ilvl w:val="0"/>
        </w:numPr>
        <w:tabs>
          <w:tab w:val="clear" w:pos="1260"/>
          <w:tab w:val="num" w:pos="567" w:leader="none"/>
          <w:tab w:val="left" w:pos="993" w:leader="none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</w:t>
      </w:r>
      <w:r>
        <w:rPr>
          <w:rFonts w:ascii="Times New Roman" w:hAnsi="Times New Roman" w:cs="Times New Roman"/>
          <w:sz w:val="24"/>
          <w:szCs w:val="24"/>
        </w:rPr>
        <w:t xml:space="preserve">ведения о предмете заявления;</w:t>
      </w:r>
    </w:p>
    <w:p>
      <w:pPr>
        <w:pStyle w:val="UserStyle_0"/>
        <w:widowControl/>
        <w:numPr>
          <w:numId w:val="12"/>
          <w:ilvl w:val="0"/>
        </w:numPr>
        <w:tabs>
          <w:tab w:val="clear" w:pos="1260"/>
          <w:tab w:val="num" w:pos="567" w:leader="none"/>
          <w:tab w:val="left" w:pos="993" w:leader="none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</w:t>
      </w:r>
      <w:r>
        <w:rPr>
          <w:rFonts w:ascii="Times New Roman" w:hAnsi="Times New Roman" w:cs="Times New Roman"/>
          <w:sz w:val="24"/>
          <w:szCs w:val="24"/>
        </w:rPr>
        <w:t xml:space="preserve">олное и сокращенное наименование заказчика - юридического лица, фамилию, имя, отчество заказчика </w:t>
      </w: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физического лица</w:t>
      </w:r>
      <w:r>
        <w:rPr>
          <w:rFonts w:ascii="Times New Roman" w:hAnsi="Times New Roman" w:cs="Times New Roman"/>
          <w:sz w:val="24"/>
          <w:szCs w:val="24"/>
        </w:rPr>
        <w:t xml:space="preserve"> и реквизиты документа, удостоверяющего его личность, место нахождения (место жительства</w:t>
      </w:r>
      <w:r>
        <w:rPr>
          <w:rFonts w:ascii="Times New Roman" w:hAnsi="Times New Roman" w:cs="Times New Roman"/>
          <w:sz w:val="24"/>
          <w:szCs w:val="24"/>
        </w:rPr>
        <w:t xml:space="preserve">, прописки</w:t>
      </w:r>
      <w:r>
        <w:rPr>
          <w:rFonts w:ascii="Times New Roman" w:hAnsi="Times New Roman" w:cs="Times New Roman"/>
          <w:sz w:val="24"/>
          <w:szCs w:val="24"/>
        </w:rPr>
        <w:t xml:space="preserve">), почтовый адрес, а также при наличии телефоны, факс, адрес электронной почты;</w:t>
      </w:r>
    </w:p>
    <w:p>
      <w:pPr>
        <w:pStyle w:val="UserStyle_0"/>
        <w:widowControl/>
        <w:numPr>
          <w:numId w:val="12"/>
          <w:ilvl w:val="0"/>
        </w:numPr>
        <w:tabs>
          <w:tab w:val="clear" w:pos="1260"/>
          <w:tab w:val="num" w:pos="567" w:leader="none"/>
          <w:tab w:val="left" w:pos="993" w:leader="none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</w:t>
      </w:r>
      <w:r>
        <w:rPr>
          <w:rFonts w:ascii="Times New Roman" w:hAnsi="Times New Roman" w:cs="Times New Roman"/>
          <w:sz w:val="24"/>
          <w:szCs w:val="24"/>
        </w:rPr>
        <w:t xml:space="preserve">ведения об объекте, подлежащ</w:t>
      </w:r>
      <w:r>
        <w:rPr>
          <w:rFonts w:ascii="Times New Roman" w:hAnsi="Times New Roman" w:cs="Times New Roman"/>
          <w:sz w:val="24"/>
          <w:szCs w:val="24"/>
        </w:rPr>
        <w:t xml:space="preserve">им</w:t>
      </w:r>
      <w:r>
        <w:rPr>
          <w:rFonts w:ascii="Times New Roman" w:hAnsi="Times New Roman" w:cs="Times New Roman"/>
          <w:sz w:val="24"/>
          <w:szCs w:val="24"/>
        </w:rPr>
        <w:t xml:space="preserve"> подключению к системам холодного водоснабжения и</w:t>
      </w:r>
      <w:r>
        <w:rPr>
          <w:rFonts w:ascii="Times New Roman" w:hAnsi="Times New Roman" w:cs="Times New Roman"/>
          <w:sz w:val="24"/>
          <w:szCs w:val="24"/>
        </w:rPr>
        <w:t xml:space="preserve">/или</w:t>
      </w:r>
      <w:r>
        <w:rPr>
          <w:rFonts w:ascii="Times New Roman" w:hAnsi="Times New Roman" w:cs="Times New Roman"/>
          <w:sz w:val="24"/>
          <w:szCs w:val="24"/>
        </w:rPr>
        <w:t xml:space="preserve"> водоотведения (</w:t>
      </w:r>
      <w:r>
        <w:rPr>
          <w:rFonts w:ascii="Times New Roman" w:hAnsi="Times New Roman" w:cs="Times New Roman"/>
          <w:sz w:val="24"/>
          <w:szCs w:val="24"/>
        </w:rPr>
        <w:t xml:space="preserve">сведения о местонахождении</w:t>
      </w:r>
      <w:r>
        <w:rPr>
          <w:rFonts w:ascii="Times New Roman" w:hAnsi="Times New Roman" w:cs="Times New Roman"/>
          <w:sz w:val="24"/>
          <w:szCs w:val="24"/>
        </w:rPr>
        <w:t xml:space="preserve"> объекта</w:t>
      </w:r>
      <w:r>
        <w:rPr>
          <w:rFonts w:ascii="Times New Roman" w:hAnsi="Times New Roman" w:cs="Times New Roman"/>
          <w:sz w:val="24"/>
          <w:szCs w:val="24"/>
        </w:rPr>
        <w:t xml:space="preserve">, его технических характеристиках);</w:t>
      </w:r>
    </w:p>
    <w:p>
      <w:pPr>
        <w:pStyle w:val="UserStyle_0"/>
        <w:widowControl/>
        <w:numPr>
          <w:numId w:val="12"/>
          <w:ilvl w:val="0"/>
        </w:numPr>
        <w:tabs>
          <w:tab w:val="clear" w:pos="1260"/>
          <w:tab w:val="num" w:pos="567" w:leader="none"/>
          <w:tab w:val="left" w:pos="993" w:leader="none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</w:t>
      </w:r>
      <w:r>
        <w:rPr>
          <w:rFonts w:ascii="Times New Roman" w:hAnsi="Times New Roman" w:cs="Times New Roman"/>
          <w:sz w:val="24"/>
          <w:szCs w:val="24"/>
        </w:rPr>
        <w:t xml:space="preserve">сновные требования заказчика </w:t>
      </w:r>
      <w:r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 xml:space="preserve">подключени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, соответствующие требованиям нормативных правовых актов Российской Федерации.</w:t>
      </w:r>
    </w:p>
    <w:p>
      <w:pPr>
        <w:pStyle w:val="UserStyle_0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UserStyle_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</w:t>
      </w:r>
      <w:r>
        <w:rPr>
          <w:rFonts w:ascii="Times New Roman" w:hAnsi="Times New Roman" w:cs="Times New Roman"/>
          <w:b/>
          <w:sz w:val="24"/>
          <w:szCs w:val="24"/>
        </w:rPr>
        <w:t xml:space="preserve">еречень и формы документов, представляемых одновременно с заявкой на подключение к </w:t>
      </w:r>
      <w:r>
        <w:rPr>
          <w:rFonts w:ascii="Times New Roman" w:hAnsi="Times New Roman" w:cs="Times New Roman"/>
          <w:b/>
          <w:sz w:val="24"/>
          <w:szCs w:val="24"/>
        </w:rPr>
        <w:t xml:space="preserve">централизованной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системе холодного водоснабжения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UserStyle_0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UserStyle_0"/>
        <w:widowControl/>
        <w:tabs>
          <w:tab w:val="left" w:pos="6600" w:leader="none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</w:t>
      </w:r>
      <w:r>
        <w:rPr>
          <w:rFonts w:ascii="Times New Roman" w:hAnsi="Times New Roman" w:cs="Times New Roman"/>
          <w:sz w:val="24"/>
          <w:szCs w:val="24"/>
        </w:rPr>
        <w:t xml:space="preserve"> заявке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прилагаются:</w:t>
      </w:r>
    </w:p>
    <w:p>
      <w:pPr>
        <w:pStyle w:val="Normal"/>
        <w:numPr>
          <w:numId w:val="14"/>
          <w:ilvl w:val="0"/>
        </w:numPr>
        <w:tabs>
          <w:tab w:val="clear" w:pos="720"/>
          <w:tab w:val="num" w:pos="1080" w:leader="none"/>
        </w:tabs>
        <w:ind w:left="1080"/>
        <w:jc w:val="both"/>
      </w:pPr>
      <w:r>
        <w:t xml:space="preserve">Документы</w:t>
      </w:r>
      <w:r>
        <w:t xml:space="preserve">,</w:t>
      </w:r>
      <w:r>
        <w:t xml:space="preserve"> подтверждающие право собственника на сооружения для присоединения;</w:t>
      </w:r>
    </w:p>
    <w:p>
      <w:pPr>
        <w:pStyle w:val="Normal"/>
        <w:numPr>
          <w:numId w:val="14"/>
          <w:ilvl w:val="0"/>
        </w:numPr>
        <w:tabs>
          <w:tab w:val="num" w:pos="1080" w:leader="none"/>
        </w:tabs>
        <w:ind w:firstLine="0"/>
        <w:jc w:val="both"/>
      </w:pPr>
      <w:r>
        <w:t xml:space="preserve">Лимиты водопотребления заявителя</w:t>
      </w:r>
      <w:r>
        <w:t xml:space="preserve">.</w:t>
      </w:r>
    </w:p>
    <w:p>
      <w:pPr>
        <w:pStyle w:val="UserStyle_0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UserStyle_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Реквизиты нормативного правового акта, регламентирующего порядок действий заявителя  </w:t>
      </w:r>
      <w:r>
        <w:rPr>
          <w:rFonts w:ascii="Times New Roman" w:hAnsi="Times New Roman" w:cs="Times New Roman"/>
          <w:b/>
          <w:sz w:val="24"/>
          <w:szCs w:val="24"/>
        </w:rPr>
        <w:t xml:space="preserve">и регулируемой организации при подаче, приеме, обработке заявки на подключение к </w:t>
      </w:r>
      <w:r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>
        <w:rPr>
          <w:rFonts w:ascii="Times New Roman" w:hAnsi="Times New Roman" w:cs="Times New Roman"/>
          <w:b/>
          <w:sz w:val="24"/>
          <w:szCs w:val="24"/>
        </w:rPr>
        <w:t xml:space="preserve">системе холодного водоснабжения, пр</w:t>
      </w:r>
      <w:r>
        <w:rPr>
          <w:rFonts w:ascii="Times New Roman" w:hAnsi="Times New Roman" w:cs="Times New Roman"/>
          <w:b/>
          <w:sz w:val="24"/>
          <w:szCs w:val="24"/>
        </w:rPr>
        <w:t xml:space="preserve">инятии решения и уведомлении о принятом решении</w:t>
      </w:r>
      <w:r>
        <w:rPr>
          <w:rFonts w:ascii="Times New Roman" w:hAnsi="Times New Roman" w:cs="Times New Roman"/>
          <w:b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Normal"/>
        <w:jc w:val="both"/>
      </w:pPr>
    </w:p>
    <w:p>
      <w:pPr>
        <w:pStyle w:val="Normal"/>
        <w:ind w:firstLine="426"/>
        <w:jc w:val="both"/>
        <w:rPr>
          <w:b/>
        </w:rPr>
      </w:pPr>
      <w:r>
        <w:rPr>
          <w:b/>
        </w:rPr>
        <w:t xml:space="preserve">Работа</w:t>
      </w:r>
      <w:r>
        <w:rPr>
          <w:b/>
        </w:rPr>
        <w:t xml:space="preserve"> с организациями осуществляется</w:t>
      </w:r>
      <w:r>
        <w:rPr>
          <w:b/>
        </w:rPr>
        <w:t xml:space="preserve"> </w:t>
      </w:r>
      <w:r>
        <w:rPr>
          <w:b/>
        </w:rPr>
        <w:t xml:space="preserve">на</w:t>
      </w:r>
      <w:r>
        <w:rPr>
          <w:b/>
        </w:rPr>
        <w:t xml:space="preserve"> основании:</w:t>
      </w:r>
      <w:r>
        <w:rPr>
          <w:b/>
        </w:rPr>
      </w:r>
    </w:p>
    <w:p>
      <w:pPr>
        <w:pStyle w:val="Normal"/>
        <w:ind w:firstLine="709"/>
        <w:jc w:val="both"/>
      </w:pPr>
      <w:r>
        <w:t xml:space="preserve">-</w:t>
      </w:r>
      <w:r>
        <w:t xml:space="preserve">  Федерального закона</w:t>
      </w:r>
      <w:r>
        <w:t xml:space="preserve"> от 07.12.2011</w:t>
      </w:r>
      <w:r>
        <w:t xml:space="preserve"> </w:t>
      </w:r>
      <w:r>
        <w:t xml:space="preserve">№</w:t>
      </w:r>
      <w:r>
        <w:t xml:space="preserve"> </w:t>
      </w:r>
      <w:r>
        <w:t xml:space="preserve">416-ФЗ «О водоснабжении и водоотведении</w:t>
      </w:r>
      <w:r>
        <w:t xml:space="preserve">»</w:t>
      </w:r>
      <w:r>
        <w:t xml:space="preserve">;</w:t>
      </w:r>
    </w:p>
    <w:p>
      <w:pPr>
        <w:pStyle w:val="Normal"/>
        <w:ind w:firstLine="709"/>
        <w:jc w:val="both"/>
      </w:pPr>
      <w:r>
        <w:t xml:space="preserve">-</w:t>
      </w:r>
      <w:r>
        <w:t xml:space="preserve"> </w:t>
      </w:r>
      <w:r>
        <w:t xml:space="preserve">П</w:t>
      </w:r>
      <w:r>
        <w:t xml:space="preserve">остановлени</w:t>
      </w:r>
      <w:r>
        <w:t xml:space="preserve">я </w:t>
      </w:r>
      <w:r>
        <w:t xml:space="preserve">Правительства РФ от 29.07.2013</w:t>
      </w:r>
      <w:r>
        <w:t xml:space="preserve"> </w:t>
      </w:r>
      <w:r>
        <w:t xml:space="preserve">№ 644</w:t>
      </w:r>
      <w:r>
        <w:t xml:space="preserve"> « Об утверждении </w:t>
      </w:r>
      <w:r>
        <w:t xml:space="preserve">Правил  холодного </w:t>
      </w:r>
      <w:r>
        <w:t xml:space="preserve"> водоснабжения и  водоотведения и о внесении изменений в некоторые акты Правительства Российской Федерации»</w:t>
      </w:r>
      <w:r>
        <w:t xml:space="preserve">;</w:t>
      </w:r>
    </w:p>
    <w:p>
      <w:pPr>
        <w:pStyle w:val="Normal"/>
        <w:ind w:firstLine="709"/>
        <w:jc w:val="both"/>
      </w:pPr>
      <w:r>
        <w:t xml:space="preserve">- </w:t>
      </w:r>
      <w:r>
        <w:t xml:space="preserve">П</w:t>
      </w:r>
      <w:r>
        <w:t xml:space="preserve">остановления Правительства РФ </w:t>
      </w:r>
      <w:r>
        <w:t xml:space="preserve">от 29.07.2013</w:t>
      </w:r>
      <w:r>
        <w:t xml:space="preserve"> </w:t>
      </w:r>
      <w:r>
        <w:t xml:space="preserve">№ 645</w:t>
      </w:r>
      <w:r>
        <w:t xml:space="preserve"> </w:t>
      </w:r>
      <w:r>
        <w:t xml:space="preserve">«Об утверждении типовых договоров в области холодного водоснабжения и водоотведения»</w:t>
      </w:r>
      <w:r>
        <w:t xml:space="preserve">.</w:t>
      </w:r>
    </w:p>
    <w:p>
      <w:pPr>
        <w:pStyle w:val="Normal"/>
        <w:ind w:firstLine="709"/>
        <w:jc w:val="both"/>
        <w:rPr>
          <w:b/>
        </w:rPr>
      </w:pPr>
      <w:r>
        <w:rPr>
          <w:b/>
        </w:rPr>
      </w:r>
    </w:p>
    <w:p>
      <w:pPr>
        <w:pStyle w:val="Normal"/>
        <w:ind w:firstLine="426"/>
        <w:jc w:val="both"/>
        <w:rPr>
          <w:b/>
        </w:rPr>
      </w:pPr>
      <w:r>
        <w:rPr>
          <w:b/>
        </w:rPr>
        <w:t xml:space="preserve">Работа с населением осуществляется на основании</w:t>
      </w:r>
      <w:r>
        <w:rPr>
          <w:b/>
        </w:rPr>
        <w:t xml:space="preserve">:</w:t>
      </w:r>
    </w:p>
    <w:p>
      <w:pPr>
        <w:pStyle w:val="Normal"/>
        <w:ind w:firstLine="709"/>
        <w:jc w:val="both"/>
      </w:pPr>
      <w:r>
        <w:t xml:space="preserve">-  Федерального закона</w:t>
      </w:r>
      <w:r>
        <w:t xml:space="preserve"> от</w:t>
      </w:r>
      <w:r>
        <w:t xml:space="preserve"> </w:t>
      </w:r>
      <w:r>
        <w:t xml:space="preserve">07.12.2011</w:t>
      </w:r>
      <w:r>
        <w:t xml:space="preserve"> № 416-ФЗ </w:t>
      </w:r>
      <w:r>
        <w:t xml:space="preserve">«О водоснабжении и водоотведении»;</w:t>
      </w:r>
    </w:p>
    <w:p>
      <w:pPr>
        <w:pStyle w:val="Normal"/>
        <w:ind w:firstLine="709"/>
        <w:jc w:val="both"/>
      </w:pPr>
      <w:r>
        <w:t xml:space="preserve">- </w:t>
      </w:r>
      <w:r>
        <w:t xml:space="preserve">П</w:t>
      </w:r>
      <w:r>
        <w:t xml:space="preserve">остановлени</w:t>
      </w:r>
      <w:r>
        <w:t xml:space="preserve">я </w:t>
      </w:r>
      <w:r>
        <w:t xml:space="preserve">Правительства РФ от 29.07.2013</w:t>
      </w:r>
      <w:r>
        <w:t xml:space="preserve"> </w:t>
      </w:r>
      <w:r>
        <w:t xml:space="preserve">№ 644</w:t>
      </w:r>
      <w:r>
        <w:t xml:space="preserve"> « Об утверждении </w:t>
      </w:r>
      <w:r>
        <w:t xml:space="preserve">Правил  холодного </w:t>
      </w:r>
      <w:r>
        <w:t xml:space="preserve"> водоснабжения и  водоотведения и о внесении изменений в некоторые акты Правительства Российской Федерации»</w:t>
      </w:r>
      <w:r>
        <w:t xml:space="preserve">;</w:t>
      </w:r>
    </w:p>
    <w:p>
      <w:pPr>
        <w:pStyle w:val="Normal"/>
        <w:ind w:firstLine="709"/>
        <w:jc w:val="both"/>
      </w:pPr>
      <w:r>
        <w:t xml:space="preserve">- </w:t>
      </w:r>
      <w:r>
        <w:t xml:space="preserve">П</w:t>
      </w:r>
      <w:r>
        <w:t xml:space="preserve">остановления Правительства РФ от 29.07.2013</w:t>
      </w:r>
      <w:r>
        <w:t xml:space="preserve"> </w:t>
      </w:r>
      <w:r>
        <w:t xml:space="preserve">№ 645</w:t>
      </w:r>
      <w:r>
        <w:t xml:space="preserve"> </w:t>
      </w:r>
      <w:r>
        <w:t xml:space="preserve">«Об утверждении типовых договоров в области холодного водоснабжения и водоотведения»</w:t>
      </w:r>
      <w:r>
        <w:t xml:space="preserve">;</w:t>
      </w:r>
    </w:p>
    <w:p>
      <w:pPr>
        <w:pStyle w:val="Normal"/>
        <w:ind w:firstLine="709"/>
        <w:jc w:val="both"/>
        <w:rPr>
          <w:b/>
        </w:rPr>
      </w:pPr>
      <w:r>
        <w:t xml:space="preserve">- </w:t>
      </w:r>
      <w:r>
        <w:t xml:space="preserve">Постановления Правительства РФ</w:t>
      </w:r>
      <w:r>
        <w:t xml:space="preserve"> от</w:t>
      </w:r>
      <w:r>
        <w:t xml:space="preserve"> </w:t>
      </w:r>
      <w:r>
        <w:t xml:space="preserve">06.05.2011</w:t>
      </w:r>
      <w:r>
        <w:t xml:space="preserve"> </w:t>
      </w:r>
      <w:r>
        <w:t xml:space="preserve">№ 354 </w:t>
      </w:r>
      <w:r>
        <w:t xml:space="preserve">«О</w:t>
      </w:r>
      <w:r>
        <w:t xml:space="preserve"> предоставления коммунальных услуг собственникам и пользователем помещений в много</w:t>
      </w:r>
      <w:r>
        <w:t xml:space="preserve">квартирных домах и жилых домов»</w:t>
      </w:r>
      <w:r>
        <w:t xml:space="preserve">.</w:t>
      </w:r>
      <w:r>
        <w:rPr>
          <w:b/>
        </w:rPr>
      </w:r>
    </w:p>
    <w:p>
      <w:pPr>
        <w:pStyle w:val="UserStyle_0"/>
        <w:widowControl/>
        <w:ind w:firstLine="0"/>
        <w:jc w:val="both"/>
      </w:pPr>
    </w:p>
    <w:p>
      <w:pPr>
        <w:pStyle w:val="UserStyle_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г) т</w:t>
      </w:r>
      <w:r>
        <w:rPr>
          <w:rFonts w:ascii="Times New Roman" w:hAnsi="Times New Roman" w:cs="Times New Roman"/>
          <w:b/>
          <w:sz w:val="24"/>
          <w:szCs w:val="24"/>
        </w:rPr>
        <w:t xml:space="preserve">елефоны и адреса службы, ответственной за прием и обработку заявок на подключение к </w:t>
      </w:r>
      <w:r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>
        <w:rPr>
          <w:rFonts w:ascii="Times New Roman" w:hAnsi="Times New Roman" w:cs="Times New Roman"/>
          <w:b/>
          <w:sz w:val="24"/>
          <w:szCs w:val="24"/>
        </w:rPr>
        <w:t xml:space="preserve">системе холодного водоснабжения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W w:w="0" w:type="auto"/>
        <w:jc w:val="center"/>
        <w:tblInd w:w="-68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562"/>
        <w:gridCol w:w="1756"/>
        <w:gridCol w:w="4571"/>
      </w:tblGrid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562" w:type="dxa"/>
            <w:textDirection w:val="lrTb"/>
            <w:vAlign w:val="top"/>
          </w:tcPr>
          <w:p>
            <w:pPr>
              <w:pStyle w:val="UserStyle_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отдела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UserStyle_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756" w:type="dxa"/>
            <w:textDirection w:val="lrTb"/>
            <w:vAlign w:val="top"/>
          </w:tcPr>
          <w:p>
            <w:pPr>
              <w:pStyle w:val="UserStyle_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Контактный телефон</w:t>
            </w:r>
          </w:p>
        </w:tc>
        <w:tc>
          <w:tcPr>
            <w:tcW w:w="4571" w:type="dxa"/>
            <w:textDirection w:val="lrTb"/>
            <w:vAlign w:val="center"/>
          </w:tcPr>
          <w:p>
            <w:pPr>
              <w:pStyle w:val="UserStyle_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Адрес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562" w:type="dxa"/>
            <w:textDirection w:val="lrTb"/>
            <w:vAlign w:val="top"/>
          </w:tcPr>
          <w:p>
            <w:pPr>
              <w:pStyle w:val="UserStyle_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Производственно-технический отдел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СП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Артемовская ТЭЦ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756" w:type="dxa"/>
            <w:textDirection w:val="lrTb"/>
            <w:vAlign w:val="top"/>
          </w:tcPr>
          <w:p>
            <w:pPr>
              <w:pStyle w:val="UserStyle_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(42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337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4-50-55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UserStyle_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571" w:type="dxa"/>
            <w:textDirection w:val="lrTb"/>
            <w:vAlign w:val="top"/>
          </w:tcPr>
          <w:p>
            <w:pPr>
              <w:pStyle w:val="UserStyle_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692775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Приморский край г.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Артем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>
            <w:pPr>
              <w:pStyle w:val="UserStyle_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Каширская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sectPr>
      <w:type w:val="nextPage"/>
      <w:pgSz w:w="11906" w:h="16838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tabs>
          <w:tab w:val="num" w:pos="720" w:leader="none"/>
        </w:tabs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tabs>
          <w:tab w:val="num" w:pos="1440" w:leader="none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tabs>
          <w:tab w:val="num" w:pos="2160" w:leader="none"/>
        </w:tabs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tabs>
          <w:tab w:val="num" w:pos="2880" w:leader="none"/>
        </w:tabs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tabs>
          <w:tab w:val="num" w:pos="3600" w:leader="none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tabs>
          <w:tab w:val="num" w:pos="4320" w:leader="none"/>
        </w:tabs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tabs>
          <w:tab w:val="num" w:pos="5040" w:leader="none"/>
        </w:tabs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tabs>
          <w:tab w:val="num" w:pos="5760" w:leader="none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tabs>
          <w:tab w:val="num" w:pos="6480" w:leader="none"/>
        </w:tabs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720" w:leader="none"/>
        </w:tabs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160" w:leader="none"/>
        </w:tabs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</w:lvl>
  </w:abstractNum>
  <w:abstractNum w:abstractNumId="2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tabs>
          <w:tab w:val="num" w:pos="720" w:leader="none"/>
        </w:tabs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tabs>
          <w:tab w:val="num" w:pos="1440" w:leader="none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tabs>
          <w:tab w:val="num" w:pos="2160" w:leader="none"/>
        </w:tabs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tabs>
          <w:tab w:val="num" w:pos="2880" w:leader="none"/>
        </w:tabs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tabs>
          <w:tab w:val="num" w:pos="3600" w:leader="none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tabs>
          <w:tab w:val="num" w:pos="4320" w:leader="none"/>
        </w:tabs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tabs>
          <w:tab w:val="num" w:pos="5040" w:leader="none"/>
        </w:tabs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tabs>
          <w:tab w:val="num" w:pos="5760" w:leader="none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tabs>
          <w:tab w:val="num" w:pos="6480" w:leader="none"/>
        </w:tabs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1260" w:leader="none"/>
        </w:tabs>
        <w:ind w:left="126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980" w:leader="none"/>
        </w:tabs>
        <w:ind w:left="198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700" w:leader="none"/>
        </w:tabs>
        <w:ind w:left="270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3420" w:leader="none"/>
        </w:tabs>
        <w:ind w:left="342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4140" w:leader="none"/>
        </w:tabs>
        <w:ind w:left="414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860" w:leader="none"/>
        </w:tabs>
        <w:ind w:left="486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580" w:leader="none"/>
        </w:tabs>
        <w:ind w:left="558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6300" w:leader="none"/>
        </w:tabs>
        <w:ind w:left="630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7020" w:leader="none"/>
        </w:tabs>
        <w:ind w:left="7020" w:hanging="180"/>
      </w:pPr>
    </w:lvl>
  </w:abstractNum>
  <w:abstractNum w:abstractNumId="4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tabs>
          <w:tab w:val="num" w:pos="720" w:leader="none"/>
        </w:tabs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160" w:leader="none"/>
        </w:tabs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</w:lvl>
  </w:abstractNum>
  <w:abstractNum w:abstractNumId="5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tabs>
          <w:tab w:val="num" w:pos="1260" w:leader="none"/>
        </w:tabs>
        <w:ind w:left="126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tabs>
          <w:tab w:val="num" w:pos="1980" w:leader="none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tabs>
          <w:tab w:val="num" w:pos="2700" w:leader="none"/>
        </w:tabs>
        <w:ind w:left="270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tabs>
          <w:tab w:val="num" w:pos="3420" w:leader="none"/>
        </w:tabs>
        <w:ind w:left="342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tabs>
          <w:tab w:val="num" w:pos="4140" w:leader="none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tabs>
          <w:tab w:val="num" w:pos="4860" w:leader="none"/>
        </w:tabs>
        <w:ind w:left="486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tabs>
          <w:tab w:val="num" w:pos="5580" w:leader="none"/>
        </w:tabs>
        <w:ind w:left="558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tabs>
          <w:tab w:val="num" w:pos="6300" w:leader="none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tabs>
          <w:tab w:val="num" w:pos="7020" w:leader="none"/>
        </w:tabs>
        <w:ind w:left="702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720" w:leader="none"/>
        </w:tabs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160" w:leader="none"/>
        </w:tabs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</w:lvl>
  </w:abstractNum>
  <w:abstractNum w:abstractNumId="7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720" w:leader="none"/>
        </w:tabs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160" w:leader="none"/>
        </w:tabs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</w:lvl>
  </w:abstractNum>
  <w:abstractNum w:abstractNumId="8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720" w:leader="none"/>
        </w:tabs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160" w:leader="none"/>
        </w:tabs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</w:lvl>
  </w:abstractNum>
  <w:abstractNum w:abstractNumId="9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720" w:leader="none"/>
        </w:tabs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160" w:leader="none"/>
        </w:tabs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</w:lvl>
  </w:abstractNum>
  <w:abstractNum w:abstractNumId="10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tabs>
          <w:tab w:val="num" w:pos="900" w:leader="none"/>
        </w:tabs>
        <w:ind w:left="90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620" w:leader="none"/>
        </w:tabs>
        <w:ind w:left="162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340" w:leader="none"/>
        </w:tabs>
        <w:ind w:left="234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3060" w:leader="none"/>
        </w:tabs>
        <w:ind w:left="306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780" w:leader="none"/>
        </w:tabs>
        <w:ind w:left="378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500" w:leader="none"/>
        </w:tabs>
        <w:ind w:left="450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220" w:leader="none"/>
        </w:tabs>
        <w:ind w:left="522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940" w:leader="none"/>
        </w:tabs>
        <w:ind w:left="594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660" w:leader="none"/>
        </w:tabs>
        <w:ind w:left="6660" w:hanging="180"/>
      </w:pPr>
    </w:lvl>
  </w:abstractNum>
  <w:abstractNum w:abstractNumId="11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tabs>
          <w:tab w:val="num" w:pos="1260" w:leader="none"/>
        </w:tabs>
        <w:ind w:left="126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tabs>
          <w:tab w:val="num" w:pos="1980" w:leader="none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tabs>
          <w:tab w:val="num" w:pos="2700" w:leader="none"/>
        </w:tabs>
        <w:ind w:left="270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tabs>
          <w:tab w:val="num" w:pos="3420" w:leader="none"/>
        </w:tabs>
        <w:ind w:left="342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tabs>
          <w:tab w:val="num" w:pos="4140" w:leader="none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tabs>
          <w:tab w:val="num" w:pos="4860" w:leader="none"/>
        </w:tabs>
        <w:ind w:left="486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tabs>
          <w:tab w:val="num" w:pos="5580" w:leader="none"/>
        </w:tabs>
        <w:ind w:left="558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tabs>
          <w:tab w:val="num" w:pos="6300" w:leader="none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tabs>
          <w:tab w:val="num" w:pos="7020" w:leader="none"/>
        </w:tabs>
        <w:ind w:left="702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tabs>
          <w:tab w:val="num" w:pos="1350" w:leader="none"/>
        </w:tabs>
        <w:ind w:left="1350" w:hanging="81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620" w:leader="none"/>
        </w:tabs>
        <w:ind w:left="162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340" w:leader="none"/>
        </w:tabs>
        <w:ind w:left="234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3060" w:leader="none"/>
        </w:tabs>
        <w:ind w:left="306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780" w:leader="none"/>
        </w:tabs>
        <w:ind w:left="378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500" w:leader="none"/>
        </w:tabs>
        <w:ind w:left="450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220" w:leader="none"/>
        </w:tabs>
        <w:ind w:left="522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940" w:leader="none"/>
        </w:tabs>
        <w:ind w:left="594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660" w:leader="none"/>
        </w:tabs>
        <w:ind w:left="6660" w:hanging="180"/>
      </w:pPr>
    </w:lvl>
  </w:abstractNum>
  <w:abstractNum w:abstractNumId="13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1260" w:leader="none"/>
        </w:tabs>
        <w:ind w:left="126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980" w:leader="none"/>
        </w:tabs>
        <w:ind w:left="198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700" w:leader="none"/>
        </w:tabs>
        <w:ind w:left="270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3420" w:leader="none"/>
        </w:tabs>
        <w:ind w:left="342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4140" w:leader="none"/>
        </w:tabs>
        <w:ind w:left="414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860" w:leader="none"/>
        </w:tabs>
        <w:ind w:left="486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580" w:leader="none"/>
        </w:tabs>
        <w:ind w:left="558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6300" w:leader="none"/>
        </w:tabs>
        <w:ind w:left="630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7020" w:leader="none"/>
        </w:tabs>
        <w:ind w:left="7020" w:hanging="180"/>
      </w:p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12"/>
  </w:num>
  <w:num w:numId="5">
    <w:abstractNumId w:val="2"/>
  </w:num>
  <w:num w:numId="6">
    <w:abstractNumId w:val="0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  <w:num w:numId="11">
    <w:abstractNumId w:val="1"/>
  </w:num>
  <w:num w:numId="12">
    <w:abstractNumId w:val="13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sz w:val="24"/>
      <w:szCs w:val="24"/>
      <w:lang w:val="ru-RU" w:eastAsia="ru-RU" w:bidi="ar-SA"/>
    </w:rPr>
  </w:style>
  <w:style w:type="character" w:styleId="NormalCharacter">
    <w:name w:val="Основной шрифт абзаца"/>
    <w:next w:val="NormalCharacter"/>
    <w:link w:val="Normal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  <w:style w:type="paragraph" w:styleId="UserStyle_0">
    <w:name w:val="ConsPlusNormal"/>
    <w:next w:val="UserStyle_0"/>
    <w:link w:val="Normal"/>
    <w:pPr>
      <w:widowControl w:val="off"/>
      <w:ind w:firstLine="720"/>
    </w:pPr>
    <w:rPr>
      <w:rFonts w:ascii="Arial" w:hAnsi="Arial" w:cs="Arial"/>
      <w:lang w:val="ru-RU" w:eastAsia="ru-RU" w:bidi="ar-SA"/>
    </w:rPr>
  </w:style>
  <w:style w:type="paragraph" w:styleId="UserStyle_1">
    <w:name w:val="ConsPlusNonformat"/>
    <w:next w:val="UserStyle_1"/>
    <w:link w:val="Normal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UserStyle_2">
    <w:name w:val="ConsPlusTitle"/>
    <w:next w:val="UserStyle_2"/>
    <w:link w:val="Normal"/>
    <w:pPr>
      <w:widowControl w:val="off"/>
    </w:pPr>
    <w:rPr>
      <w:rFonts w:ascii="Arial" w:hAnsi="Arial" w:cs="Arial"/>
      <w:b/>
      <w:bCs/>
      <w:lang w:val="ru-RU" w:eastAsia="ru-RU" w:bidi="ar-SA"/>
    </w:rPr>
  </w:style>
  <w:style w:type="table" w:styleId="TableGrid">
    <w:name w:val="Сетка таблицы"/>
    <w:basedOn w:val="TableNormal"/>
    <w:next w:val="TableGrid"/>
    <w:link w:val="Normal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haracters>2556</Characters>
  <CharactersWithSpaces>2999</CharactersWithSpaces>
  <Company>Организация</Company>
  <DocSecurity>0</DocSecurity>
  <HyperlinksChanged>false</HyperlinksChanged>
  <Lines>21</Lines>
  <Pages>1</Pages>
  <Paragraphs>5</Paragraphs>
  <ScaleCrop>false</ScaleCrop>
  <SharedDoc>false</SharedDoc>
  <Template>Normal.dotm</Template>
  <Words>448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подключения к системам холодного водоснабжения и водоотведения</dc:title>
  <dc:creator>Urist1</dc:creator>
  <cp:lastModifiedBy>starovetckaya_av</cp:lastModifiedBy>
  <cp:revision>3</cp:revision>
  <dcterms:created xsi:type="dcterms:W3CDTF">2015-12-10T04:44:00Z</dcterms:created>
  <dcterms:modified xsi:type="dcterms:W3CDTF">2016-12-14T23:05:00Z</dcterms:modified>
  <cp:version>917504</cp:version>
</cp:coreProperties>
</file>